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587FC5" w:rsidRPr="00587FC5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6B07304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ED0D3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–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587FC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Кадастр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» 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ED0D3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G</w:t>
      </w:r>
      <w:r w:rsidR="0080047B" w:rsidRPr="0080047B">
        <w:rPr>
          <w:rFonts w:ascii="Times New Roman" w:hAnsi="Times New Roman" w:cs="Times New Roman"/>
          <w:b/>
          <w:sz w:val="24"/>
          <w:szCs w:val="20"/>
          <w:lang w:val="kk-KZ"/>
        </w:rPr>
        <w:t>T</w:t>
      </w:r>
      <w:r w:rsidR="00587FC5">
        <w:rPr>
          <w:rFonts w:ascii="Times New Roman" w:hAnsi="Times New Roman" w:cs="Times New Roman"/>
          <w:b/>
          <w:sz w:val="24"/>
          <w:szCs w:val="20"/>
          <w:lang w:val="kk-KZ"/>
        </w:rPr>
        <w:t>К</w:t>
      </w:r>
      <w:r w:rsidR="00ED4C8A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587FC5">
        <w:rPr>
          <w:rFonts w:ascii="Times New Roman" w:hAnsi="Times New Roman" w:cs="Times New Roman"/>
          <w:b/>
          <w:sz w:val="24"/>
          <w:szCs w:val="20"/>
          <w:lang w:val="kk-KZ"/>
        </w:rPr>
        <w:t>2212</w:t>
      </w:r>
      <w:r w:rsidR="00DC605D" w:rsidRPr="00DC605D">
        <w:rPr>
          <w:rFonts w:ascii="Times New Roman" w:hAnsi="Times New Roman" w:cs="Times New Roman"/>
          <w:b/>
          <w:caps/>
          <w:color w:val="000000"/>
          <w:sz w:val="32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587FC5">
        <w:rPr>
          <w:rFonts w:ascii="Times New Roman" w:hAnsi="Times New Roman" w:cs="Times New Roman"/>
          <w:b/>
          <w:sz w:val="24"/>
          <w:lang w:val="kk-KZ"/>
        </w:rPr>
        <w:t>Кадастрдағы</w:t>
      </w:r>
      <w:r w:rsidRPr="00ED0D3E">
        <w:rPr>
          <w:rFonts w:ascii="Times New Roman" w:hAnsi="Times New Roman" w:cs="Times New Roman"/>
          <w:b/>
          <w:sz w:val="24"/>
          <w:lang w:val="kk-KZ"/>
        </w:rPr>
        <w:t xml:space="preserve"> геоақпараттық технологиялар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Pr="00587FC5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CF3D4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587FC5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87FC5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«6B07304 – Кадастр» 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мамандығы бойынша «</w:t>
      </w:r>
      <w:r>
        <w:rPr>
          <w:rFonts w:ascii="Times New Roman" w:hAnsi="Times New Roman" w:cs="Times New Roman"/>
          <w:sz w:val="24"/>
          <w:lang w:val="kk-KZ"/>
        </w:rPr>
        <w:t>Кадастрдағы</w:t>
      </w:r>
      <w:bookmarkStart w:id="0" w:name="_GoBack"/>
      <w:bookmarkEnd w:id="0"/>
      <w:r w:rsidR="00ED0D3E" w:rsidRPr="00ED0D3E">
        <w:rPr>
          <w:rFonts w:ascii="Times New Roman" w:hAnsi="Times New Roman" w:cs="Times New Roman"/>
          <w:sz w:val="24"/>
          <w:lang w:val="kk-KZ"/>
        </w:rPr>
        <w:t xml:space="preserve"> геоақпараттық технологиялар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 w:rsid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 w:rsidR="00ED0D3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Зұлпыхаров Қ.Б. 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___ «___» 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Кафедра меңгерушісі ___________________ Н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юсу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пова Г.Н.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1F1DCA">
        <w:rPr>
          <w:szCs w:val="23"/>
          <w:lang w:val="kk-KZ"/>
        </w:rPr>
        <w:t>магистранттардың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 xml:space="preserve">ақпараттық технологиялар, қазіргі таңда қолданыста жүрген бағдарламаларды пайдаланудың маңыздылығы,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тестіле</w:t>
      </w:r>
      <w:r w:rsidRPr="00591D4C">
        <w:rPr>
          <w:szCs w:val="23"/>
          <w:lang w:val="kk-KZ"/>
        </w:rPr>
        <w:t xml:space="preserve">у. </w:t>
      </w:r>
      <w:r w:rsidRPr="00306B87">
        <w:rPr>
          <w:lang w:val="kk-KZ"/>
        </w:rPr>
        <w:t>СДО Moodle</w:t>
      </w:r>
      <w:r w:rsidRPr="00591D4C">
        <w:rPr>
          <w:szCs w:val="23"/>
          <w:lang w:val="kk-KZ"/>
        </w:rPr>
        <w:t xml:space="preserve"> жүйесі арқылы онлайн іске асырылады. Тестілеуді бақылау - интерактивті прокторинг арқылы жүзеге асады.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Тестілеудің өтуін бақылау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онлайн прокторинг технологиясы арқылы жүзеге асырылады. 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sz w:val="24"/>
          <w:szCs w:val="24"/>
          <w:lang w:val="kk-KZ"/>
        </w:rPr>
        <w:t>Пән бойынша жалпы тест жинағы 75 сұрақтан тұрады, әрбір тест сұрағында 5 жауап нұсқасы, оның ішінде 1 дұрыс жауап берілген.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25 сұрақ және 60 минут уақыт беріледі.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Балл қою уақыты: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баллдар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тестілеу аяқталғаннан кейін бірден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автоматты түрде қойылады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Максималды баға</w:t>
      </w:r>
      <w:r w:rsidRPr="00280C7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25 тест-сұраққа дұрыс жауап берген жағдайда 100 балл деп бағаланады. Әр дұрыс жауапқа 4 балл.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591D4C" w:rsidRDefault="00587704" w:rsidP="00587704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 w:rsidRPr="00591D4C">
        <w:rPr>
          <w:b/>
          <w:szCs w:val="23"/>
          <w:lang w:val="kk-KZ"/>
        </w:rPr>
        <w:t>Тестілеуден бұрын жұмыс орнын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Тестілеу сәтті өтуі үшін тестілеу басталғанға дейін келесі әрекеттерді орындау қажет: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Бөлменің жақсы жарықтануын қамтамассыз ету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lastRenderedPageBreak/>
        <w:t>Интернетке қосылудың қол жетімділігі мен жылдамдығын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Жеке сәйкестендіру үшін құжаттарды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Ең жоғары өнімділікке жету үшін компьютерді қайта қосыңыз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:rsidR="00942AD0" w:rsidRPr="00CF40C9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8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:rsidR="005D346A" w:rsidRPr="008357EE" w:rsidRDefault="005D346A" w:rsidP="008357EE">
      <w:pPr>
        <w:pStyle w:val="a3"/>
        <w:numPr>
          <w:ilvl w:val="0"/>
          <w:numId w:val="7"/>
        </w:numPr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8357EE">
        <w:rPr>
          <w:rFonts w:ascii="Times New Roman" w:hAnsi="Times New Roman" w:cs="Times New Roman"/>
          <w:sz w:val="24"/>
          <w:szCs w:val="24"/>
          <w:lang w:val="kk-KZ"/>
        </w:rPr>
        <w:t>ГАЖ және кеңістіктік талдау: кіріспе және шолу.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технологиясын қолдану кадастрлық және жер ресурстарымен байланысты зерттеулерді жүргізу негізі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Желілік талдау дәне геокодтау талдау жүргізудің мүмкіндіктерін айқындау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Табиғи және экономикалық құбылыстарды модельдеу және болжаудағы ГАЖ мүмкіндіктерін сипаттау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Ауыл шаруашылығын дамыту мен жоспарлаудағы ГАЖ қолдану мәселелері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ГАЖ-ді табиғатты пайдалану және сақтауда қолдану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Геостатистикалық талдау түрлері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ГАЖ қолдану тәжірибесін талдау. </w:t>
      </w: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технологияларын практикада қолдану аясын қарастыру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Ғылыми зерттеулердегі және кадастрлық жұмыстарды жүргізудегі ГАЖ деректер көздерін қарастыру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Коммерциялық және тегін таратылатын ГАЖ айырмашылықтарын талдау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Бөлінген ГАЖ құру технологияларын үйрену (интерактивті, онлайн, картографиялық қызметтер, геопорталдар, бұлттық</w:t>
      </w:r>
      <w:r w:rsidRPr="00CF3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қызметтер, кластерлік жүйелер)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Интеллектуалды ГАЖ және оның қазіргі заманауи мүмкіндіктерін сипаттау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және қашықтықтан зондтау жүйелерін интеграфиясы сипатын қарастыру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ГАЖ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ғаламдық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интеграциясы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. Веб-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картографиялауды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қарастыру</w:t>
      </w:r>
      <w:proofErr w:type="spellEnd"/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Кеңістіктік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зерттеулердің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негізі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Модельдеу бағдарламаларын қарастыру және мүмкіндіктерін салыстыру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ArcGIS Living Atlas of the World — дүние жүзіндегі ең басты географиялық ақпарат жинағымен танысу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Геоақпараттық жүйелердегі мәліметтерді ұйымдастыру жұмыстарын игеру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010B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Қоршаған ортаның ластануын талдауда үшін интерполяция әдісін қолдану</w:t>
      </w:r>
    </w:p>
    <w:p w:rsidR="005D346A" w:rsidRPr="007E6591" w:rsidRDefault="005D346A" w:rsidP="005D346A">
      <w:pPr>
        <w:spacing w:before="0"/>
        <w:jc w:val="left"/>
        <w:rPr>
          <w:rFonts w:ascii="Times New Roman" w:hAnsi="Times New Roman" w:cs="Times New Roman"/>
          <w:lang w:val="kk-KZ"/>
        </w:rPr>
      </w:pP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 тізімі: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Картография. М., 1991. (Итоги науки и техники/ВИНИТИ.; Т.14: Геоинформационные системы и картография).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Коновалов Н.В., Капралов Е.Г. Введение в ГИС: Учебное пособие. М., 1997. 160 с.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Каракин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В.П. Региональные геоинформационные системы. М.: Наука, </w:t>
      </w:r>
      <w:smartTag w:uri="urn:schemas-microsoft-com:office:smarttags" w:element="metricconverter">
        <w:smartTagPr>
          <w:attr w:name="ProductID" w:val="198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. М.: Недра, </w:t>
      </w:r>
      <w:smartTag w:uri="urn:schemas-microsoft-com:office:smarttags" w:element="metricconverter">
        <w:smartTagPr>
          <w:attr w:name="ProductID" w:val="1992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lastRenderedPageBreak/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Шайтура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С.В. Геоинформационные системы и методы их создания. Калуга, 1998, 252с.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Майкл Н.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ДеМерс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Географические информационные системы. Основы. М., 1999. 490</w:t>
      </w:r>
    </w:p>
    <w:p w:rsidR="000E7867" w:rsidRPr="00CA241F" w:rsidRDefault="000E7867" w:rsidP="000E7867">
      <w:pPr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1F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A241F">
        <w:rPr>
          <w:rFonts w:ascii="Times New Roman" w:hAnsi="Times New Roman" w:cs="Times New Roman"/>
          <w:b/>
          <w:sz w:val="24"/>
          <w:szCs w:val="24"/>
        </w:rPr>
        <w:t>:</w:t>
      </w:r>
    </w:p>
    <w:p w:rsidR="000E7867" w:rsidRPr="00CA241F" w:rsidRDefault="00587FC5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көшбасшылардан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ESRI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ERDAS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(GIS)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веб-сайты.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беру, ГАЖ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587FC5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0E7867" w:rsidRPr="00CA241F" w:rsidRDefault="00587FC5" w:rsidP="000E7867">
      <w:pPr>
        <w:pStyle w:val="a3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0E7867" w:rsidRDefault="000E7867" w:rsidP="000E7867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2E7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071EF9"/>
    <w:multiLevelType w:val="hybridMultilevel"/>
    <w:tmpl w:val="C5BE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B466C"/>
    <w:rsid w:val="000E1D41"/>
    <w:rsid w:val="000E7867"/>
    <w:rsid w:val="001F1DCA"/>
    <w:rsid w:val="00200849"/>
    <w:rsid w:val="00245EA8"/>
    <w:rsid w:val="002C4DD7"/>
    <w:rsid w:val="00327ED0"/>
    <w:rsid w:val="00493262"/>
    <w:rsid w:val="004C1303"/>
    <w:rsid w:val="00583B8C"/>
    <w:rsid w:val="00587704"/>
    <w:rsid w:val="00587FC5"/>
    <w:rsid w:val="005A5574"/>
    <w:rsid w:val="005D346A"/>
    <w:rsid w:val="005E3B6E"/>
    <w:rsid w:val="007866D6"/>
    <w:rsid w:val="007E6591"/>
    <w:rsid w:val="0080047B"/>
    <w:rsid w:val="008357EE"/>
    <w:rsid w:val="00861051"/>
    <w:rsid w:val="008F6E62"/>
    <w:rsid w:val="00906CF6"/>
    <w:rsid w:val="0091284B"/>
    <w:rsid w:val="00942AD0"/>
    <w:rsid w:val="00B12DDF"/>
    <w:rsid w:val="00BF5F09"/>
    <w:rsid w:val="00C529E9"/>
    <w:rsid w:val="00C646B7"/>
    <w:rsid w:val="00CF3D40"/>
    <w:rsid w:val="00CF40C9"/>
    <w:rsid w:val="00DA4114"/>
    <w:rsid w:val="00DC605D"/>
    <w:rsid w:val="00ED0D3E"/>
    <w:rsid w:val="00ED4C8A"/>
    <w:rsid w:val="00F2474C"/>
    <w:rsid w:val="00F33DFB"/>
    <w:rsid w:val="00F52D45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2B35B4"/>
  <w15:docId w15:val="{462D0280-C9DC-4102-97E7-7572021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Kanat</cp:lastModifiedBy>
  <cp:revision>3</cp:revision>
  <dcterms:created xsi:type="dcterms:W3CDTF">2022-10-14T11:33:00Z</dcterms:created>
  <dcterms:modified xsi:type="dcterms:W3CDTF">2023-01-05T08:02:00Z</dcterms:modified>
</cp:coreProperties>
</file>